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F52C59">
        <w:rPr>
          <w:lang w:val="ru-RU"/>
        </w:rPr>
        <w:t>1058</w:t>
      </w:r>
      <w:r w:rsidR="001319CE">
        <w:t>-2102/2025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1319CE">
        <w:rPr>
          <w:lang w:val="ru-RU"/>
        </w:rPr>
        <w:t>07 октября 2025</w:t>
      </w:r>
      <w:r w:rsidR="00724410">
        <w:t xml:space="preserve"> года</w:t>
      </w:r>
    </w:p>
    <w:p w:rsidR="004157A1" w:rsidRPr="00067632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>
        <w:t xml:space="preserve">Мировой судья </w:t>
      </w:r>
      <w:r w:rsidRPr="00067632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067632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FF1EE4" w:rsidRPr="00FF1EE4" w:rsidP="00FF1EE4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FF1EE4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FF1EE4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FF1EE4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F52C59">
        <w:rPr>
          <w:rFonts w:ascii="Times New Roman" w:hAnsi="Times New Roman" w:cs="Times New Roman"/>
          <w:sz w:val="25"/>
          <w:szCs w:val="25"/>
          <w:lang w:val="ru-RU"/>
        </w:rPr>
        <w:t>Савченко Сергея Владимировича</w:t>
      </w:r>
      <w:r w:rsidRPr="00FF1EE4">
        <w:rPr>
          <w:rFonts w:ascii="Times New Roman" w:hAnsi="Times New Roman" w:cs="Times New Roman"/>
          <w:sz w:val="25"/>
          <w:szCs w:val="25"/>
        </w:rPr>
        <w:t xml:space="preserve">, </w:t>
      </w:r>
      <w:r w:rsidR="005A3C0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 года р</w:t>
      </w:r>
      <w:r w:rsidRPr="00FF1EE4">
        <w:rPr>
          <w:rFonts w:ascii="Times New Roman" w:hAnsi="Times New Roman" w:cs="Times New Roman"/>
          <w:sz w:val="25"/>
          <w:szCs w:val="25"/>
        </w:rPr>
        <w:t xml:space="preserve">ождения, уроженца </w:t>
      </w:r>
      <w:r w:rsidR="005A3C0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>, проживающего по адресу: г</w:t>
      </w:r>
      <w:r w:rsidR="005A3C0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5A3C0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>,</w:t>
      </w:r>
    </w:p>
    <w:p w:rsidR="00FF1EE4" w:rsidRPr="00FF1EE4" w:rsidP="00FF1EE4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FF1EE4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067632" w:rsidP="00FF1EE4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Савченко С.В</w:t>
      </w:r>
      <w:r w:rsidRPr="00FF1EE4" w:rsidR="00FF1EE4">
        <w:rPr>
          <w:rFonts w:ascii="Times New Roman" w:hAnsi="Times New Roman" w:cs="Times New Roman"/>
          <w:sz w:val="25"/>
          <w:szCs w:val="25"/>
        </w:rPr>
        <w:t xml:space="preserve">., являясь директором </w:t>
      </w:r>
      <w:r>
        <w:rPr>
          <w:rFonts w:ascii="Times New Roman" w:hAnsi="Times New Roman" w:cs="Times New Roman"/>
          <w:sz w:val="25"/>
          <w:szCs w:val="25"/>
          <w:lang w:val="ru-RU"/>
        </w:rPr>
        <w:t>ООО «Инкомпласт</w:t>
      </w:r>
      <w:r w:rsidRPr="00FF1EE4" w:rsidR="00FF1EE4">
        <w:rPr>
          <w:rFonts w:ascii="Times New Roman" w:hAnsi="Times New Roman" w:cs="Times New Roman"/>
          <w:sz w:val="25"/>
          <w:szCs w:val="25"/>
        </w:rPr>
        <w:t>», расположенного по адресу: ХМАО-Югра, г. Нижневартов</w:t>
      </w:r>
      <w:r w:rsidR="001319CE">
        <w:rPr>
          <w:rFonts w:ascii="Times New Roman" w:hAnsi="Times New Roman" w:cs="Times New Roman"/>
          <w:sz w:val="25"/>
          <w:szCs w:val="25"/>
        </w:rPr>
        <w:t xml:space="preserve">ск, ул. </w:t>
      </w:r>
      <w:r>
        <w:rPr>
          <w:rFonts w:ascii="Times New Roman" w:hAnsi="Times New Roman" w:cs="Times New Roman"/>
          <w:sz w:val="25"/>
          <w:szCs w:val="25"/>
          <w:lang w:val="ru-RU"/>
        </w:rPr>
        <w:t>Ленина</w:t>
      </w:r>
      <w:r w:rsidR="001319CE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ru-RU"/>
        </w:rPr>
        <w:t>з</w:t>
      </w:r>
      <w:r>
        <w:rPr>
          <w:rFonts w:ascii="Times New Roman" w:hAnsi="Times New Roman" w:cs="Times New Roman"/>
          <w:sz w:val="25"/>
          <w:szCs w:val="25"/>
        </w:rPr>
        <w:t xml:space="preserve">д. </w:t>
      </w:r>
      <w:r>
        <w:rPr>
          <w:rFonts w:ascii="Times New Roman" w:hAnsi="Times New Roman" w:cs="Times New Roman"/>
          <w:sz w:val="25"/>
          <w:szCs w:val="25"/>
          <w:lang w:val="ru-RU"/>
        </w:rPr>
        <w:t>5/П, стр.6</w:t>
      </w:r>
      <w:r w:rsidRPr="00067632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067632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1319CE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1319CE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представлена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11.08.2025 года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="00F52C59">
        <w:rPr>
          <w:sz w:val="25"/>
          <w:szCs w:val="25"/>
        </w:rPr>
        <w:t>Савченко С.В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B45B3F">
        <w:rPr>
          <w:sz w:val="25"/>
          <w:szCs w:val="25"/>
        </w:rPr>
        <w:t>ся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B45B3F">
        <w:rPr>
          <w:sz w:val="25"/>
          <w:szCs w:val="25"/>
        </w:rPr>
        <w:t>ся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7E22A1"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7E22A1" w:rsidR="007E22A1">
        <w:rPr>
          <w:rFonts w:ascii="Times New Roman" w:hAnsi="Times New Roman" w:cs="Times New Roman"/>
          <w:sz w:val="25"/>
          <w:szCs w:val="25"/>
        </w:rPr>
        <w:t>скриншот электронно-информационной таблицы</w:t>
      </w:r>
      <w:r w:rsidRPr="007E22A1" w:rsidR="007E22A1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сведения из </w:t>
      </w: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>Единого реестра субъектов малого и среднего предпринимательства; выписку из ЕГРЮЛ, приходит к следующему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7E22A1">
        <w:rPr>
          <w:rFonts w:ascii="Times New Roman" w:hAnsi="Times New Roman" w:cs="Times New Roman"/>
          <w:sz w:val="25"/>
          <w:szCs w:val="25"/>
          <w:lang w:val="ru-RU"/>
        </w:rPr>
        <w:t>Савченко С.В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., совершил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и (или) иных  сведений, необходимых для осуществления налогового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ением случаев,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ятельств,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Савченко Сергея Владимировича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</w:t>
      </w:r>
      <w:r w:rsidR="001319CE"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виновным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ему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1319CE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</w:t>
      </w:r>
      <w:r w:rsidRPr="003D1079">
        <w:rPr>
          <w:rFonts w:ascii="Times New Roman" w:hAnsi="Times New Roman" w:cs="Times New Roman"/>
          <w:sz w:val="25"/>
          <w:szCs w:val="25"/>
        </w:rPr>
        <w:t>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….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319CE"/>
    <w:rsid w:val="00210618"/>
    <w:rsid w:val="00214F75"/>
    <w:rsid w:val="00253A5E"/>
    <w:rsid w:val="0028369C"/>
    <w:rsid w:val="002A09F2"/>
    <w:rsid w:val="002A1E66"/>
    <w:rsid w:val="003D1079"/>
    <w:rsid w:val="004157A1"/>
    <w:rsid w:val="004235BB"/>
    <w:rsid w:val="00446957"/>
    <w:rsid w:val="004B57A4"/>
    <w:rsid w:val="00534750"/>
    <w:rsid w:val="00567794"/>
    <w:rsid w:val="00575A31"/>
    <w:rsid w:val="005A3C04"/>
    <w:rsid w:val="005E5064"/>
    <w:rsid w:val="006A13C7"/>
    <w:rsid w:val="00724410"/>
    <w:rsid w:val="0072445B"/>
    <w:rsid w:val="00725731"/>
    <w:rsid w:val="00764F2F"/>
    <w:rsid w:val="00772642"/>
    <w:rsid w:val="007E22A1"/>
    <w:rsid w:val="008C6E55"/>
    <w:rsid w:val="00902A10"/>
    <w:rsid w:val="00930B90"/>
    <w:rsid w:val="00A51531"/>
    <w:rsid w:val="00A670C5"/>
    <w:rsid w:val="00A71F60"/>
    <w:rsid w:val="00B13EE7"/>
    <w:rsid w:val="00B45B3F"/>
    <w:rsid w:val="00B46D62"/>
    <w:rsid w:val="00B82C12"/>
    <w:rsid w:val="00BD2ACE"/>
    <w:rsid w:val="00C95FF6"/>
    <w:rsid w:val="00CA6A4A"/>
    <w:rsid w:val="00D17453"/>
    <w:rsid w:val="00DA775B"/>
    <w:rsid w:val="00E961A6"/>
    <w:rsid w:val="00F52C59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